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60"/>
        <w:jc w:val="center"/>
      </w:pPr>
      <w:r>
        <w:drawing>
          <wp:inline xmlns:a="http://schemas.openxmlformats.org/drawingml/2006/main" xmlns:pic="http://schemas.openxmlformats.org/drawingml/2006/picture">
            <wp:extent cx="6583680" cy="3705289"/>
            <wp:docPr id="1" name="Picture 1" descr="Technical rail geometry art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7052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Eyebrow"/>
      </w:pPr>
      <w:r>
        <w:t>CAPABILITIES STATEMENT | 2026</w:t>
      </w:r>
    </w:p>
    <w:p>
      <w:pPr>
        <w:pStyle w:val="Title"/>
      </w:pPr>
      <w:r>
        <w:t>BUILT FOR THE HARDEST MILES.</w:t>
      </w:r>
    </w:p>
    <w:p>
      <w:pPr>
        <w:pStyle w:val="Subtitle"/>
      </w:pPr>
      <w:r>
        <w:t>Rail construction, rehabilitation, maintenance, transit, inspection, heavy transport, and derailment response across Western Canada.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35+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YEARS OPERATING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3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PROVINCES SERVED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4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CONSECUTIVE PUBLIC SELECTIONS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7 days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TRACK INSPECTIONS</w:t>
            </w:r>
          </w:p>
        </w:tc>
      </w:tr>
    </w:tbl>
    <w:p>
      <w:pPr>
        <w:spacing w:before="240"/>
        <w:jc w:val="center"/>
      </w:pPr>
      <w:r>
        <w:rPr>
          <w:rFonts w:ascii="Arial" w:hAnsi="Arial"/>
          <w:b/>
          <w:color w:val="5E646C"/>
          <w:sz w:val="16"/>
        </w:rPr>
        <w:t>IRONHORSE RAILROAD CONTRACTORS LTD.  |  CROSSFIELD, ALBERTA</w:t>
      </w:r>
    </w:p>
    <w:p>
      <w:r>
        <w:br w:type="page"/>
      </w:r>
    </w:p>
    <w:p>
      <w:pPr>
        <w:pStyle w:val="Eyebrow"/>
      </w:pPr>
      <w:r>
        <w:t>01 | COMPANY</w:t>
      </w:r>
    </w:p>
    <w:p>
      <w:pPr>
        <w:pStyle w:val="Title"/>
      </w:pPr>
      <w:r>
        <w:t>ONE ACCOUNTABLE RAIL CONTRACTOR.</w:t>
      </w:r>
    </w:p>
    <w:p>
      <w:pPr>
        <w:pStyle w:val="Subtitle"/>
      </w:pPr>
      <w:r>
        <w:t>Canadian-owned and reporting more than 35 years of operation, Ironhorse combines experienced rail crews with specialized railway, hi-rail, and transport equipment.</w:t>
      </w:r>
    </w:p>
    <w:p>
      <w:pPr>
        <w:pStyle w:val="Heading2"/>
        <w:keepNext/>
      </w:pPr>
      <w:r>
        <w:t>OPERATING FOOTPRINT</w:t>
      </w:r>
    </w:p>
    <w:p>
      <w:pPr>
        <w:pStyle w:val="BodyText"/>
      </w:pPr>
      <w:r>
        <w:t>Primary dispatch is based in Crossfield, Alberta, with project mobilization across Alberta, British Columbia, and Saskatchewan. Teams support industrial, shortline, mainline, municipal, transit, grain, mining, energy, and commercial rail users.</w:t>
      </w:r>
    </w:p>
    <w:p>
      <w:pPr>
        <w:spacing w:before="120" w:after="160"/>
        <w:jc w:val="center"/>
      </w:pPr>
      <w:r>
        <w:drawing>
          <wp:inline xmlns:a="http://schemas.openxmlformats.org/drawingml/2006/main" xmlns:pic="http://schemas.openxmlformats.org/drawingml/2006/picture">
            <wp:extent cx="6400800" cy="3596068"/>
            <wp:docPr id="2" name="Picture 2" descr="Industrial railway construction in Western Canad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6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t>WHAT PROCUREMENT TEAMS GAIN</w:t>
      </w:r>
    </w:p>
    <w:p>
      <w:pPr>
        <w:pStyle w:val="ListBullet"/>
      </w:pPr>
      <w:r>
        <w:t>One contractor coordinating field crews, specialized railway equipment, heavy transport, and project support.</w:t>
      </w:r>
    </w:p>
    <w:p>
      <w:pPr>
        <w:pStyle w:val="ListBullet"/>
      </w:pPr>
      <w:r>
        <w:t>A lifecycle capability that extends from new construction through inspection, rehabilitation, surfacing, emergency repair, and ongoing maintenance.</w:t>
      </w:r>
    </w:p>
    <w:p>
      <w:pPr>
        <w:pStyle w:val="ListBullet"/>
      </w:pPr>
      <w:r>
        <w:t>Regional experience planning around operating windows, live-track interfaces, access constraints, and material flow.</w:t>
      </w:r>
    </w:p>
    <w:p>
      <w:pPr>
        <w:pStyle w:val="ListBullet"/>
      </w:pPr>
      <w:r>
        <w:t>Derailment inquiries at 403-946-0169; confirm crew and equipment availability by phone.</w:t>
      </w:r>
    </w:p>
    <w:p>
      <w:r>
        <w:br w:type="page"/>
      </w:r>
    </w:p>
    <w:p>
      <w:pPr>
        <w:pStyle w:val="Eyebrow"/>
      </w:pPr>
      <w:r>
        <w:t>02 | SERVICES</w:t>
      </w:r>
    </w:p>
    <w:p>
      <w:pPr>
        <w:pStyle w:val="Title"/>
      </w:pPr>
      <w:r>
        <w:t>ELEVEN CONNECTED CAPABILITIES.</w:t>
      </w:r>
    </w:p>
    <w:p>
      <w:pPr>
        <w:pStyle w:val="Subtitle"/>
      </w:pPr>
      <w:r>
        <w:t>A delivery model designed to reduce handoffs and keep responsibility clear from scope definition through handback.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6984"/>
      </w:tblGrid>
      <w:tr>
        <w:trPr>
          <w:tblHeader w:val="true"/>
        </w:trPr>
        <w:tc>
          <w:tcPr>
            <w:tcW w:type="dxa" w:w="5184"/>
            <w:shd w:fill="171A1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CAPABILITY</w:t>
            </w:r>
          </w:p>
        </w:tc>
        <w:tc>
          <w:tcPr>
            <w:tcW w:type="dxa" w:w="5184"/>
            <w:shd w:fill="171A1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DELIVERY SCOPE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New track construction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Industrial spurs, yards, loop tracks, turnouts, ballast, rail, surfacing, and commissioning support.</w:t>
            </w:r>
          </w:p>
        </w:tc>
      </w:tr>
      <w:tr>
        <w:tc>
          <w:tcPr>
            <w:tcW w:type="dxa" w:w="324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Track rehabilitation</w:t>
            </w:r>
          </w:p>
        </w:tc>
        <w:tc>
          <w:tcPr>
            <w:tcW w:type="dxa" w:w="6984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Tie, rail, turnout, fastening, drainage, undercutting, and ballast renewal programs.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Emergency response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Derailment clearing, re-railing support, track rebuilds, surfacing, and return-to-service coordination.</w:t>
            </w:r>
          </w:p>
        </w:tc>
      </w:tr>
      <w:tr>
        <w:tc>
          <w:tcPr>
            <w:tcW w:type="dxa" w:w="324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Thermite welding</w:t>
            </w:r>
          </w:p>
        </w:tc>
        <w:tc>
          <w:tcPr>
            <w:tcW w:type="dxa" w:w="6984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Joint elimination, pull-aparts, broken-rail repair, continuous welded rail, grinding, and inspection.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Production surfacing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Tamping, lining, regulating, turnout work, geometry correction, and transit right-of-way surfacing.</w:t>
            </w:r>
          </w:p>
        </w:tc>
      </w:tr>
      <w:tr>
        <w:tc>
          <w:tcPr>
            <w:tcW w:type="dxa" w:w="324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Tie and steel gangs</w:t>
            </w:r>
          </w:p>
        </w:tc>
        <w:tc>
          <w:tcPr>
            <w:tcW w:type="dxa" w:w="6984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Production tie renewal, rail relay, fastening, anchoring, gauge restoration, and finished surfacing.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Transit maintenance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Preventive maintenance, upgrades, closure-based delivery, and purpose-built narrow-profile equipment.</w:t>
            </w:r>
          </w:p>
        </w:tc>
      </w:tr>
      <w:tr>
        <w:tc>
          <w:tcPr>
            <w:tcW w:type="dxa" w:w="324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Track inspections</w:t>
            </w:r>
          </w:p>
        </w:tc>
        <w:tc>
          <w:tcPr>
            <w:tcW w:type="dxa" w:w="6984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TIGS-trained inspection personnel, condition reporting, maintenance priorities, and repair scoping.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Track protection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Qualified flagging and protection for utility, municipal, contractor, transit, and maintenance work.</w:t>
            </w:r>
          </w:p>
        </w:tc>
      </w:tr>
      <w:tr>
        <w:tc>
          <w:tcPr>
            <w:tcW w:type="dxa" w:w="3240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Fire and asset prevention</w:t>
            </w:r>
          </w:p>
        </w:tc>
        <w:tc>
          <w:tcPr>
            <w:tcW w:type="dxa" w:w="6984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Hi-rail water equipment, fire watch, hot-work support, and trackside asset wetting.</w:t>
            </w:r>
          </w:p>
        </w:tc>
      </w:tr>
      <w:tr>
        <w:tc>
          <w:tcPr>
            <w:tcW w:type="dxa" w:w="3240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b/>
                <w:color w:val="171A1F"/>
                <w:sz w:val="17"/>
              </w:rPr>
              <w:t>Transport and equipment</w:t>
            </w:r>
          </w:p>
        </w:tc>
        <w:tc>
          <w:tcPr>
            <w:tcW w:type="dxa" w:w="6984"/>
            <w:shd w:fill="F0F1F2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r>
              <w:rPr>
                <w:rFonts w:ascii="Arial" w:hAnsi="Arial"/>
                <w:color w:val="171A1F"/>
                <w:sz w:val="17"/>
              </w:rPr>
              <w:t>Heavy haul, hot shot, equipment rentals, selected sales, and in-person training.</w:t>
            </w:r>
          </w:p>
        </w:tc>
      </w:tr>
    </w:tbl>
    <w:p>
      <w:r>
        <w:br w:type="page"/>
      </w:r>
    </w:p>
    <w:p>
      <w:pPr>
        <w:pStyle w:val="Eyebrow"/>
      </w:pPr>
      <w:r>
        <w:t>03 | FLEET</w:t>
      </w:r>
    </w:p>
    <w:p>
      <w:pPr>
        <w:pStyle w:val="Title"/>
      </w:pPr>
      <w:r>
        <w:t>SPECIALIZED RAIL FLEET.</w:t>
      </w:r>
    </w:p>
    <w:p>
      <w:pPr>
        <w:pStyle w:val="Subtitle"/>
      </w:pPr>
      <w:r>
        <w:t>Ironhorse supports field delivery with railway production machines, hi-rail equipment, heavy transport, and material handling.</w:t>
      </w:r>
    </w:p>
    <w:p>
      <w:pPr>
        <w:spacing w:before="120" w:after="160"/>
        <w:jc w:val="center"/>
      </w:pPr>
      <w:r>
        <w:drawing>
          <wp:inline xmlns:a="http://schemas.openxmlformats.org/drawingml/2006/main" xmlns:pic="http://schemas.openxmlformats.org/drawingml/2006/picture">
            <wp:extent cx="5074920" cy="3806190"/>
            <wp:docPr id="3" name="Picture 3" descr="Ironhorse heavy transport moving specialized equip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806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keepNext/>
      </w:pPr>
      <w:r>
        <w:t>TRACK PRODUCTION</w:t>
      </w:r>
    </w:p>
    <w:p>
      <w:pPr>
        <w:pStyle w:val="BodyText"/>
      </w:pPr>
      <w:r>
        <w:t>MKIV tampers, the in-house Jupiter II transit surfacing system, ballast regulators, tie handlers, anchor units, and Gopher and Super Gopher undercutters.</w:t>
      </w:r>
    </w:p>
    <w:p>
      <w:pPr>
        <w:pStyle w:val="Heading3"/>
        <w:keepNext/>
      </w:pPr>
      <w:r>
        <w:t>HI-RAIL AND SUPPORT</w:t>
      </w:r>
    </w:p>
    <w:p>
      <w:pPr>
        <w:pStyle w:val="BodyText"/>
      </w:pPr>
      <w:r>
        <w:t>Hi-rail excavators with rail attachments, backhoes, boom trucks with grapples and magnets, loaders, inspection vehicles, and fire-prevention water trucks.</w:t>
      </w:r>
    </w:p>
    <w:p>
      <w:pPr>
        <w:pStyle w:val="Heading3"/>
        <w:keepNext/>
      </w:pPr>
      <w:r>
        <w:t>HEAVY TRANSPORT</w:t>
      </w:r>
    </w:p>
    <w:p>
      <w:pPr>
        <w:pStyle w:val="BodyText"/>
      </w:pPr>
      <w:r>
        <w:t>Kenworth T800 and W900 tri-drive tractors, winches, scissor-neck and lowboy trailers, plus one-ton hot shot service with a 40-foot gooseneck.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F0F1F2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 Narrow" w:hAnsi="Arial Narrow"/>
                <w:b/>
                <w:color w:val="171A1F"/>
                <w:sz w:val="32"/>
              </w:rPr>
              <w:t>16,000 L</w:t>
            </w:r>
          </w:p>
          <w:p>
            <w:pPr>
              <w:jc w:val="center"/>
            </w:pPr>
            <w:r>
              <w:rPr>
                <w:rFonts w:ascii="Arial" w:hAnsi="Arial"/>
                <w:color w:val="5E646C"/>
                <w:sz w:val="14"/>
              </w:rPr>
              <w:t>Fire truck tank</w:t>
            </w:r>
          </w:p>
        </w:tc>
        <w:tc>
          <w:tcPr>
            <w:tcW w:type="dxa" w:w="2592"/>
            <w:shd w:fill="F0F1F2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 Narrow" w:hAnsi="Arial Narrow"/>
                <w:b/>
                <w:color w:val="171A1F"/>
                <w:sz w:val="32"/>
              </w:rPr>
              <w:t>2,050 LPM</w:t>
            </w:r>
          </w:p>
          <w:p>
            <w:pPr>
              <w:jc w:val="center"/>
            </w:pPr>
            <w:r>
              <w:rPr>
                <w:rFonts w:ascii="Arial" w:hAnsi="Arial"/>
                <w:color w:val="5E646C"/>
                <w:sz w:val="14"/>
              </w:rPr>
              <w:t>Pump output</w:t>
            </w:r>
          </w:p>
        </w:tc>
        <w:tc>
          <w:tcPr>
            <w:tcW w:type="dxa" w:w="2592"/>
            <w:shd w:fill="F0F1F2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 Narrow" w:hAnsi="Arial Narrow"/>
                <w:b/>
                <w:color w:val="171A1F"/>
                <w:sz w:val="32"/>
              </w:rPr>
              <w:t>100 to 150 ft</w:t>
            </w:r>
          </w:p>
          <w:p>
            <w:pPr>
              <w:jc w:val="center"/>
            </w:pPr>
            <w:r>
              <w:rPr>
                <w:rFonts w:ascii="Arial" w:hAnsi="Arial"/>
                <w:color w:val="5E646C"/>
                <w:sz w:val="14"/>
              </w:rPr>
              <w:t>Front-cannon reach</w:t>
            </w:r>
          </w:p>
        </w:tc>
        <w:tc>
          <w:tcPr>
            <w:tcW w:type="dxa" w:w="2592"/>
            <w:shd w:fill="F0F1F2"/>
            <w:tcMar>
              <w:top w:w="120" w:type="dxa"/>
              <w:start w:w="80" w:type="dxa"/>
              <w:bottom w:w="12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 Narrow" w:hAnsi="Arial Narrow"/>
                <w:b/>
                <w:color w:val="171A1F"/>
                <w:sz w:val="32"/>
              </w:rPr>
              <w:t>80 ft</w:t>
            </w:r>
          </w:p>
          <w:p>
            <w:pPr>
              <w:jc w:val="center"/>
            </w:pPr>
            <w:r>
              <w:rPr>
                <w:rFonts w:ascii="Arial" w:hAnsi="Arial"/>
                <w:color w:val="5E646C"/>
                <w:sz w:val="14"/>
              </w:rPr>
              <w:t>Side coverage</w:t>
            </w:r>
          </w:p>
        </w:tc>
      </w:tr>
    </w:tbl>
    <w:p>
      <w:r>
        <w:br w:type="page"/>
      </w:r>
    </w:p>
    <w:p>
      <w:pPr>
        <w:pStyle w:val="Eyebrow"/>
      </w:pPr>
      <w:r>
        <w:t>04 | EVIDENCE</w:t>
      </w:r>
    </w:p>
    <w:p>
      <w:pPr>
        <w:pStyle w:val="Title"/>
      </w:pPr>
      <w:r>
        <w:t>WORK NAMED IN PUBLIC RECORDS.</w:t>
      </w:r>
    </w:p>
    <w:p>
      <w:pPr>
        <w:pStyle w:val="Subtitle"/>
      </w:pPr>
      <w:r>
        <w:t>Government records, owner acknowledgements, and completion notices independently document Ironhorse project participation.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$8M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COALDALE PROJECT VALUE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1.6 km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NEW INDUSTRIAL SPUR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4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LETHBRIDGE SELECTIONS</w:t>
            </w:r>
          </w:p>
        </w:tc>
        <w:tc>
          <w:tcPr>
            <w:tcW w:type="dxa" w:w="2592"/>
            <w:shd w:fill="171A1F"/>
            <w:tcMar>
              <w:top w:w="180" w:type="dxa"/>
              <w:start w:w="130" w:type="dxa"/>
              <w:bottom w:w="180" w:type="dxa"/>
              <w:end w:w="13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E4A72D"/>
                <w:sz w:val="46"/>
              </w:rPr>
              <w:t>2027</w:t>
            </w:r>
          </w:p>
          <w:p>
            <w:pPr>
              <w:spacing w:before="80"/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CURRENT COR EXPIRY</w:t>
            </w:r>
          </w:p>
        </w:tc>
      </w:tr>
    </w:tbl>
    <w:p>
      <w:pPr>
        <w:pStyle w:val="Heading2"/>
        <w:keepNext/>
      </w:pPr>
      <w:r>
        <w:t>COALDALE INDUSTRIAL RAIL SPUR</w:t>
      </w:r>
    </w:p>
    <w:p>
      <w:pPr>
        <w:pStyle w:val="BodyText"/>
      </w:pPr>
      <w:r>
        <w:t>Alberta's Major Projects registry names Ironhorse as one of two contractors on the completed $8 million Coaldale industrial rail spur. The 1.6-kilometre project connects the industrial park and NewCold facility to the CPKC main line. The public record does not divide the value or scope between the two contractors.</w:t>
      </w:r>
    </w:p>
    <w:p>
      <w:pPr>
        <w:pStyle w:val="BodyText"/>
      </w:pPr>
      <w:r>
        <w:rPr>
          <w:b/>
        </w:rPr>
        <w:t xml:space="preserve">Source: Government of Alberta Major Projects registry  |  </w:t>
      </w:r>
      <w:hyperlink r:id="rId13">
        <w:r>
          <w:rPr>
            <w:color w:val="E4A72D"/>
            <w:u w:val="single"/>
          </w:rPr>
          <w:t>View public record</w:t>
        </w:r>
      </w:hyperlink>
    </w:p>
    <w:p>
      <w:pPr>
        <w:pStyle w:val="Heading2"/>
        <w:keepNext/>
      </w:pPr>
      <w:r>
        <w:t>FOUR CONSECUTIVE CITY OF LETHBRIDGE SELECTIONS</w:t>
      </w:r>
    </w:p>
    <w:p>
      <w:pPr>
        <w:pStyle w:val="BodyText"/>
      </w:pPr>
      <w:r>
        <w:t>Public records identify Ironhorse for the City's annual railway rehabilitation work in 2022, 2023, 2024, and 2025. Published values were $493,919.27 in 2022, $493,919.27 in 2023, $693,913.28 in 2024, and $576,473.55 in 2025.</w:t>
      </w:r>
    </w:p>
    <w:p>
      <w:pPr>
        <w:pStyle w:val="BodyText"/>
      </w:pPr>
      <w:r>
        <w:rPr>
          <w:b/>
        </w:rPr>
        <w:t xml:space="preserve">Source: City of Lethbridge procurement summary, 2022  |  </w:t>
      </w:r>
      <w:hyperlink r:id="rId14">
        <w:r>
          <w:rPr>
            <w:color w:val="E4A72D"/>
            <w:u w:val="single"/>
          </w:rPr>
          <w:t>View public record</w:t>
        </w:r>
      </w:hyperlink>
    </w:p>
    <w:p>
      <w:pPr>
        <w:pStyle w:val="BodyText"/>
      </w:pPr>
      <w:r>
        <w:rPr>
          <w:b/>
        </w:rPr>
        <w:t xml:space="preserve">Source: City of Lethbridge procurement summary, 2023  |  </w:t>
      </w:r>
      <w:hyperlink r:id="rId15">
        <w:r>
          <w:rPr>
            <w:color w:val="E4A72D"/>
            <w:u w:val="single"/>
          </w:rPr>
          <w:t>View public record</w:t>
        </w:r>
      </w:hyperlink>
    </w:p>
    <w:p>
      <w:pPr>
        <w:pStyle w:val="BodyText"/>
      </w:pPr>
      <w:r>
        <w:rPr>
          <w:b/>
        </w:rPr>
        <w:t xml:space="preserve">Source: City of Lethbridge procurement summary, 2024  |  </w:t>
      </w:r>
      <w:hyperlink r:id="rId16">
        <w:r>
          <w:rPr>
            <w:color w:val="E4A72D"/>
            <w:u w:val="single"/>
          </w:rPr>
          <w:t>View public record</w:t>
        </w:r>
      </w:hyperlink>
    </w:p>
    <w:p>
      <w:pPr>
        <w:pStyle w:val="BodyText"/>
      </w:pPr>
      <w:r>
        <w:rPr>
          <w:b/>
        </w:rPr>
        <w:t xml:space="preserve">Source: City of Lethbridge tender result, 2025  |  </w:t>
      </w:r>
      <w:hyperlink r:id="rId17">
        <w:r>
          <w:rPr>
            <w:color w:val="E4A72D"/>
            <w:u w:val="single"/>
          </w:rPr>
          <w:t>View public record</w:t>
        </w:r>
      </w:hyperlink>
    </w:p>
    <w:p>
      <w:pPr>
        <w:pStyle w:val="Heading2"/>
        <w:keepNext/>
      </w:pPr>
      <w:r>
        <w:t>PASSENGER AND HERITAGE RAIL</w:t>
      </w:r>
    </w:p>
    <w:p>
      <w:pPr>
        <w:pStyle w:val="BodyText"/>
      </w:pPr>
      <w:r>
        <w:t>A Journal of Commerce completion record names VIA Rail Canada as owner and Ironhorse as contractor for Jasper track work.</w:t>
      </w:r>
    </w:p>
    <w:p>
      <w:pPr>
        <w:pStyle w:val="BodyText"/>
      </w:pPr>
      <w:r>
        <w:rPr>
          <w:b/>
        </w:rPr>
        <w:t xml:space="preserve">Source: Journal of Commerce certificate archive, VIA Rail Jasper track work  |  </w:t>
      </w:r>
      <w:hyperlink r:id="rId18">
        <w:r>
          <w:rPr>
            <w:color w:val="E4A72D"/>
            <w:u w:val="single"/>
          </w:rPr>
          <w:t>View public record</w:t>
        </w:r>
      </w:hyperlink>
    </w:p>
    <w:p>
      <w:pPr>
        <w:pStyle w:val="BodyText"/>
      </w:pPr>
      <w:r>
        <w:t>The Western Development Museum separately credits Ironhorse for rebuilding the track supporting Short Line 101 in Moose Jaw, Saskatchewan.</w:t>
      </w:r>
    </w:p>
    <w:p>
      <w:pPr>
        <w:pStyle w:val="BodyText"/>
      </w:pPr>
      <w:r>
        <w:rPr>
          <w:b/>
        </w:rPr>
        <w:t xml:space="preserve">Source: Western Development Museum, K+S Potash Canada Short Line 101  |  </w:t>
      </w:r>
      <w:hyperlink r:id="rId19">
        <w:r>
          <w:rPr>
            <w:color w:val="E4A72D"/>
            <w:u w:val="single"/>
          </w:rPr>
          <w:t>View public record</w:t>
        </w:r>
      </w:hyperlink>
    </w:p>
    <w:p>
      <w:r>
        <w:br w:type="page"/>
      </w:r>
    </w:p>
    <w:p>
      <w:pPr>
        <w:pStyle w:val="Eyebrow"/>
      </w:pPr>
      <w:r>
        <w:t>05 | READINESS</w:t>
      </w:r>
    </w:p>
    <w:p>
      <w:pPr>
        <w:pStyle w:val="Title"/>
      </w:pPr>
      <w:r>
        <w:t>CURRENT SAFETY STANDING.</w:t>
      </w:r>
    </w:p>
    <w:p>
      <w:pPr>
        <w:pStyle w:val="Subtitle"/>
      </w:pPr>
      <w:r>
        <w:t>A current Certificate of Recognition and a clear project-document process support owner prequalification.</w:t>
      </w:r>
    </w:p>
    <w:p>
      <w:pPr>
        <w:spacing w:before="120" w:after="160"/>
        <w:jc w:val="center"/>
      </w:pPr>
      <w:r>
        <w:drawing>
          <wp:inline xmlns:a="http://schemas.openxmlformats.org/drawingml/2006/main" xmlns:pic="http://schemas.openxmlformats.org/drawingml/2006/picture">
            <wp:extent cx="3200400" cy="4325674"/>
            <wp:docPr id="4" name="Picture 4" descr="Rail surfacing equipment operating at nigh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325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keepNext/>
      </w:pPr>
      <w:r>
        <w:t>ALBERTA CERTIFICATE OF RECOGNITION</w:t>
      </w:r>
    </w:p>
    <w:p>
      <w:pPr>
        <w:pStyle w:val="BodyText"/>
      </w:pPr>
      <w:r>
        <w:t>The Government of Alberta's current COR holder list records Ironhorse Railroad Contractors Ltd., COR number 20241230-0597, certified through the Alberta Construction Safety Association and expiring December 30, 2027.</w:t>
      </w:r>
    </w:p>
    <w:p>
      <w:pPr>
        <w:pStyle w:val="BodyText"/>
      </w:pPr>
      <w:r>
        <w:rPr>
          <w:b/>
        </w:rPr>
        <w:t xml:space="preserve">Source: Government of Alberta, current COR holder list  |  </w:t>
      </w:r>
      <w:hyperlink r:id="rId21">
        <w:r>
          <w:rPr>
            <w:color w:val="E4A72D"/>
            <w:u w:val="single"/>
          </w:rPr>
          <w:t>View public record</w:t>
        </w:r>
      </w:hyperlink>
    </w:p>
    <w:p>
      <w:pPr>
        <w:pStyle w:val="Heading2"/>
        <w:keepNext/>
      </w:pPr>
      <w:r>
        <w:t>AVAILABLE FOR PROJECT REVIEW</w:t>
      </w:r>
    </w:p>
    <w:p>
      <w:pPr>
        <w:pStyle w:val="ListBullet"/>
      </w:pPr>
      <w:r>
        <w:t>Current safety, insurance, personnel, and equipment documentation</w:t>
      </w:r>
    </w:p>
    <w:p>
      <w:pPr>
        <w:pStyle w:val="ListBullet"/>
      </w:pPr>
      <w:r>
        <w:t>Project-specific mobilization, access, protection, and operating plans</w:t>
      </w:r>
    </w:p>
    <w:p>
      <w:pPr>
        <w:pStyle w:val="ListBullet"/>
      </w:pPr>
      <w:r>
        <w:t>Relevant project references and public evidence links</w:t>
      </w:r>
    </w:p>
    <w:p>
      <w:pPr>
        <w:pStyle w:val="ListBullet"/>
      </w:pPr>
      <w:r>
        <w:t>Equipment availability and operator information confirmed against the requested dates</w:t>
      </w:r>
    </w:p>
    <w:p>
      <w:pPr>
        <w:pStyle w:val="BodyText"/>
      </w:pPr>
      <w:r>
        <w:t>Evidence standard: published values and roles are described exactly as recorded by the source. Representative operating photography is not presented as documentation of a specific public contract.</w:t>
      </w:r>
    </w:p>
    <w:p>
      <w:r>
        <w:br w:type="page"/>
      </w:r>
    </w:p>
    <w:p>
      <w:pPr>
        <w:pStyle w:val="Eyebrow"/>
      </w:pPr>
      <w:r>
        <w:t>06 | PROJECT DESK</w:t>
      </w:r>
    </w:p>
    <w:p>
      <w:pPr>
        <w:pStyle w:val="Title"/>
      </w:pPr>
      <w:r>
        <w:t>PUT A PRACTICAL SCOPE IN FRONT OF US.</w:t>
      </w:r>
    </w:p>
    <w:p>
      <w:pPr>
        <w:pStyle w:val="Subtitle"/>
      </w:pPr>
      <w:r>
        <w:t>Send the location, work required, known track details, target schedule, and available plans. Ironhorse will assemble the right field and equipment response.</w:t>
      </w:r>
    </w:p>
    <w:p>
      <w:pPr>
        <w:pStyle w:val="Heading2"/>
        <w:keepNext/>
      </w:pPr>
      <w:r>
        <w:t>USEFUL BID INPUTS</w:t>
      </w:r>
    </w:p>
    <w:p>
      <w:pPr>
        <w:pStyle w:val="ListBullet"/>
      </w:pPr>
      <w:r>
        <w:t>Nearest town, facility, subdivision, and milepost</w:t>
      </w:r>
    </w:p>
    <w:p>
      <w:pPr>
        <w:pStyle w:val="ListBullet"/>
      </w:pPr>
      <w:r>
        <w:t>Track length, rail weight, turnout count, car types, volumes, and known defects</w:t>
      </w:r>
    </w:p>
    <w:p>
      <w:pPr>
        <w:pStyle w:val="ListBullet"/>
      </w:pPr>
      <w:r>
        <w:t>Required standards, access limits, protection requirements, and operating windows</w:t>
      </w:r>
    </w:p>
    <w:p>
      <w:pPr>
        <w:pStyle w:val="ListBullet"/>
      </w:pPr>
      <w:r>
        <w:t>Target dates, material responsibilities, drawings, photos, and available inspection reports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240"/>
            <w:shd w:fill="171A1F"/>
            <w:tcMar>
              <w:top w:w="160" w:type="dxa"/>
              <w:start w:w="130" w:type="dxa"/>
              <w:bottom w:w="16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PROJECT AND GENERAL INQUIRIES</w:t>
            </w:r>
          </w:p>
        </w:tc>
        <w:tc>
          <w:tcPr>
            <w:tcW w:type="dxa" w:w="6984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rPr>
                <w:rFonts w:ascii="Arial" w:hAnsi="Arial"/>
                <w:b/>
                <w:color w:val="171A1F"/>
                <w:sz w:val="22"/>
              </w:rPr>
              <w:t>info@ironhorserail.com</w:t>
            </w:r>
          </w:p>
        </w:tc>
      </w:tr>
      <w:tr>
        <w:tc>
          <w:tcPr>
            <w:tcW w:type="dxa" w:w="3240"/>
            <w:shd w:fill="171A1F"/>
            <w:tcMar>
              <w:top w:w="160" w:type="dxa"/>
              <w:start w:w="130" w:type="dxa"/>
              <w:bottom w:w="16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PHONE / DERAILMENT INQUIRIES</w:t>
            </w:r>
          </w:p>
        </w:tc>
        <w:tc>
          <w:tcPr>
            <w:tcW w:type="dxa" w:w="6984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rPr>
                <w:rFonts w:ascii="Arial" w:hAnsi="Arial"/>
                <w:b/>
                <w:color w:val="171A1F"/>
                <w:sz w:val="22"/>
              </w:rPr>
              <w:t>403-946-0169</w:t>
            </w:r>
          </w:p>
        </w:tc>
      </w:tr>
      <w:tr>
        <w:tc>
          <w:tcPr>
            <w:tcW w:type="dxa" w:w="3240"/>
            <w:shd w:fill="171A1F"/>
            <w:tcMar>
              <w:top w:w="160" w:type="dxa"/>
              <w:start w:w="130" w:type="dxa"/>
              <w:bottom w:w="16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HEAD OFFICE</w:t>
            </w:r>
          </w:p>
        </w:tc>
        <w:tc>
          <w:tcPr>
            <w:tcW w:type="dxa" w:w="6984"/>
            <w:tcMar>
              <w:top w:w="160" w:type="dxa"/>
              <w:start w:w="150" w:type="dxa"/>
              <w:bottom w:w="160" w:type="dxa"/>
              <w:end w:w="150" w:type="dxa"/>
            </w:tcMar>
          </w:tcPr>
          <w:p>
            <w:r>
              <w:rPr>
                <w:rFonts w:ascii="Arial" w:hAnsi="Arial"/>
                <w:b/>
                <w:color w:val="171A1F"/>
                <w:sz w:val="22"/>
              </w:rPr>
              <w:t>1412 Railway St, Crossfield, Alberta  T0M 0S0</w:t>
            </w:r>
          </w:p>
        </w:tc>
      </w:tr>
    </w:tbl>
    <w:p>
      <w:pPr>
        <w:spacing w:before="120" w:after="160"/>
        <w:jc w:val="center"/>
      </w:pPr>
      <w:r>
        <w:drawing>
          <wp:inline xmlns:a="http://schemas.openxmlformats.org/drawingml/2006/main" xmlns:pic="http://schemas.openxmlformats.org/drawingml/2006/picture">
            <wp:extent cx="6080760" cy="3422246"/>
            <wp:docPr id="5" name="Picture 5" descr="Technical rail geometry artwor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422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/>
        <w:jc w:val="center"/>
      </w:pPr>
      <w:r>
        <w:rPr>
          <w:rFonts w:ascii="Arial" w:hAnsi="Arial"/>
          <w:b/>
          <w:color w:val="E4A72D"/>
          <w:sz w:val="22"/>
        </w:rPr>
        <w:t>IRONHORSERAIL.COM</w:t>
      </w:r>
    </w:p>
    <w:sectPr w:rsidR="00FC693F" w:rsidRPr="0006063C" w:rsidSect="00034616">
      <w:footerReference w:type="default" r:id="rId9"/>
      <w:pgSz w:w="12240" w:h="15840"/>
      <w:pgMar w:top="893" w:right="936" w:bottom="835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5E646C"/>
        <w:sz w:val="16"/>
      </w:rPr>
      <w:t xml:space="preserve">IRONHORSE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1A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 Narrow" w:hAnsi="Arial Narrow"/>
      <w:b/>
      <w:bCs/>
      <w:color w:val="171A1F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 Narrow" w:hAnsi="Arial Narrow"/>
      <w:b/>
      <w:bCs/>
      <w:color w:val="171A1F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Narrow" w:hAnsi="Arial Narrow"/>
      <w:b/>
      <w:bCs/>
      <w:color w:val="E4A72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80" w:line="211" w:lineRule="auto" w:before="120"/>
      <w:contextualSpacing/>
    </w:pPr>
    <w:rPr>
      <w:rFonts w:asciiTheme="majorHAnsi" w:eastAsiaTheme="majorEastAsia" w:hAnsiTheme="majorHAnsi" w:cstheme="majorBidi" w:ascii="Arial Narrow" w:hAnsi="Arial Narrow"/>
      <w:b/>
      <w:color w:val="171A1F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Lead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 w:line="276" w:lineRule="auto"/>
    </w:pPr>
    <w:rPr>
      <w:rFonts w:asciiTheme="majorHAnsi" w:eastAsiaTheme="majorEastAsia" w:hAnsiTheme="majorHAnsi" w:cstheme="majorBidi" w:ascii="Arial" w:hAnsi="Arial"/>
      <w:i/>
      <w:iCs/>
      <w:color w:val="5E646C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64" w:lineRule="auto"/>
    </w:pPr>
    <w:rPr>
      <w:rFonts w:ascii="Arial" w:hAnsi="Arial"/>
      <w:color w:val="171A1F"/>
      <w:sz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317" w:hanging="20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40"/>
    </w:pPr>
    <w:rPr>
      <w:rFonts w:ascii="Arial" w:hAnsi="Arial"/>
      <w:b/>
      <w:color w:val="E4A72D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hyperlink" Target="https://majorprojects.alberta.ca/details/Coaldale-Industrial-Rail-Spur-Line/11801" TargetMode="External"/><Relationship Id="rId14" Type="http://schemas.openxmlformats.org/officeDocument/2006/relationships/hyperlink" Target="https://www.lethbridge.ca/media/ixmopskj/procurement-summary-report-may-2022.pdf" TargetMode="External"/><Relationship Id="rId15" Type="http://schemas.openxmlformats.org/officeDocument/2006/relationships/hyperlink" Target="https://www.lethbridge.ca/media/ak2nuomf/procurement-summary-report-february-2023.pdf" TargetMode="External"/><Relationship Id="rId16" Type="http://schemas.openxmlformats.org/officeDocument/2006/relationships/hyperlink" Target="https://www.lethbridge.ca/media/a1lh1w12/procurement-summary-report-march-2024.pdf" TargetMode="External"/><Relationship Id="rId17" Type="http://schemas.openxmlformats.org/officeDocument/2006/relationships/hyperlink" Target="https://lethbridge.bidsandtenders.ca/Module/Tenders/en/Tender/Detail/db56289e-7421-4c73-8ecb-04ce60824fe0" TargetMode="External"/><Relationship Id="rId18" Type="http://schemas.openxmlformats.org/officeDocument/2006/relationships/hyperlink" Target="https://canada.constructconnect.com/JOC/certificates-and-notices?ccpage=59" TargetMode="External"/><Relationship Id="rId19" Type="http://schemas.openxmlformats.org/officeDocument/2006/relationships/hyperlink" Target="https://wdm.ca/exhibit/ks-potash-canada-short-line-101/" TargetMode="External"/><Relationship Id="rId20" Type="http://schemas.openxmlformats.org/officeDocument/2006/relationships/image" Target="media/image4.jpg"/><Relationship Id="rId21" Type="http://schemas.openxmlformats.org/officeDocument/2006/relationships/hyperlink" Target="https://www.alberta.ca/find-employers-with-c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